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E4FC6" w14:textId="77777777" w:rsidR="00F2408D" w:rsidRDefault="001B4339">
      <w:pPr>
        <w:jc w:val="both"/>
      </w:pPr>
      <w:r>
        <w:t>ИЗБОРНОМ ВЕЋУ СТОМАТОЛОШKОГ ФАKУЛТЕТА УНИВЕРЗИТЕТА У БЕОГРАДУ</w:t>
      </w:r>
    </w:p>
    <w:p w14:paraId="3A874BA7" w14:textId="77777777" w:rsidR="00F2408D" w:rsidRDefault="001B4339">
      <w:pPr>
        <w:jc w:val="both"/>
      </w:pPr>
      <w:r>
        <w:t>Одлуком Изборног већа Стоматолошког факултета, Универзитета у Београду, на редовној  седници  у  школској  2025/26.  одржаној  15. октобра  2025.  године,  именована  је Kомисија  за  избор  једног  асистента  за  ужу  научну  област  Базичне стоматолошке  науке,  наставни  предмет  Микробиологија  и  имунологија,  у  следећем саставу:</w:t>
      </w:r>
    </w:p>
    <w:p w14:paraId="736E0EA5" w14:textId="77777777" w:rsidR="00F2408D" w:rsidRDefault="001B4339">
      <w:pPr>
        <w:jc w:val="both"/>
      </w:pPr>
      <w:r>
        <w:t>1.  Проф.  др  Душан  Павлица,  редовни  професор  Стоматолошког  факултета Универзитета у Београду, председник комисије</w:t>
      </w:r>
    </w:p>
    <w:p w14:paraId="6034CCFF" w14:textId="77777777" w:rsidR="00F2408D" w:rsidRDefault="001B4339">
      <w:pPr>
        <w:jc w:val="both"/>
      </w:pPr>
      <w:r>
        <w:t>2.  Проф. др Маја Ћупић, редовни професор Медицинског факултета Универзитета у Београду</w:t>
      </w:r>
    </w:p>
    <w:p w14:paraId="64A9329E" w14:textId="77777777" w:rsidR="00F2408D" w:rsidRDefault="001B4339">
      <w:pPr>
        <w:jc w:val="both"/>
      </w:pPr>
      <w:r>
        <w:t>3. Доц .  др  Милена Радуновић,  доцент Стоматолошког  факултета Универзитета у  Београду</w:t>
      </w:r>
    </w:p>
    <w:p w14:paraId="4A07CB63" w14:textId="77777777" w:rsidR="00F2408D" w:rsidRDefault="001B4339">
      <w:pPr>
        <w:jc w:val="both"/>
      </w:pPr>
      <w:r>
        <w:t>На  конкурс  објављен  у  „Службеном  гласнику  РС“  број  93/2025,  од  24.  октобра  2025. године,  пријавио  се  један  кандидат  -  др Тамара Влајић Товиловић, сарадник  у  високом образовању  на  предмету  Микробиологија  и  имунологија, Стоматолошког  факултета, Универзитета у Београду.</w:t>
      </w:r>
    </w:p>
    <w:p w14:paraId="281275B3" w14:textId="77777777" w:rsidR="00F2408D" w:rsidRDefault="001B4339">
      <w:pPr>
        <w:jc w:val="both"/>
      </w:pPr>
      <w:r>
        <w:t xml:space="preserve">На основу увида у приложену документацију и свеукупни рад кандидата, Kомисија подноси Изборном већу следећи </w:t>
      </w:r>
    </w:p>
    <w:p w14:paraId="673A1A9C" w14:textId="77777777" w:rsidR="00F2408D" w:rsidRDefault="001B4339">
      <w:pPr>
        <w:jc w:val="both"/>
      </w:pPr>
      <w:r>
        <w:t>ИЗВЕШТАЈ</w:t>
      </w:r>
    </w:p>
    <w:p w14:paraId="3B1BB08F" w14:textId="77777777" w:rsidR="00F2408D" w:rsidRDefault="001B4339">
      <w:pPr>
        <w:jc w:val="both"/>
      </w:pPr>
      <w:r>
        <w:t>Биографски подаци</w:t>
      </w:r>
    </w:p>
    <w:p w14:paraId="30512848" w14:textId="77777777" w:rsidR="00F2408D" w:rsidRDefault="001B4339">
      <w:pPr>
        <w:jc w:val="both"/>
      </w:pPr>
      <w:r>
        <w:t>Кандидат Тамара Влајић Товиловић  је  рођена  12.  маја  1992.  године  у  Косовској Митровици, Република Србија. На Стоматолошки факултет у Београду се уписала школске 2011/12. године, а дипломирала је 2017. године са просечном оценом 8,74. Обавезан лекарски стаж обавила је на Војно-медицинској академији у Београду. Стручни испит за докторе стоматологије положила је 2018. године. Докторске  студије, студијски програм Базична и клиничка испитивања у стоматологији,  на Стоматолошком  факултету  у  Београду, др Тамара Влајић Товиловић је уписала 2018. године. У децембру 2022. године одобрен јој је предлог теме докторске дисертације под називом: „Својства ново-синтетисаног цемента на бази калцијум-фосфата допираног јонима стронцијума, бакра и цинка са додатком ацетилсалицилне киселине“ од стране Универзитета у Београду.</w:t>
      </w:r>
    </w:p>
    <w:p w14:paraId="34830CD3" w14:textId="77777777" w:rsidR="00F2408D" w:rsidRDefault="001B4339">
      <w:pPr>
        <w:jc w:val="both"/>
      </w:pPr>
      <w:r>
        <w:t xml:space="preserve">Од  јануара 2022.  до јануара 2025.  године била је запослена као истраживач приправник, затим истраживач сарадник на пројекту Фонда за науку Републике Србије (програм ИДЕЈА) под називом: </w:t>
      </w:r>
      <w:r>
        <w:rPr>
          <w:i/>
          <w:iCs/>
        </w:rPr>
        <w:t>Oral cancer - new approaches in prevention, control and post-operative regeneration - an in vitro study</w:t>
      </w:r>
      <w:r>
        <w:t xml:space="preserve">. У истом периоду (2022-2025) бива ангажована и као инструктор на извођењу практичне наставе на предмету Микробиологија и имунологија на Стоматолошком факултету Универзитета у Београду. Од јануара 2025. </w:t>
      </w:r>
      <w:r>
        <w:lastRenderedPageBreak/>
        <w:t xml:space="preserve">године запослена је као сарадник у високошколском образовању на истом предмету на Стоматолошком факултету Универзитета у Београду. Тренутно је део пројектног тима пројекта Фонда за науку Републике Србије (програм ПРИЗМА) под називом: </w:t>
      </w:r>
      <w:r>
        <w:rPr>
          <w:i/>
          <w:iCs/>
        </w:rPr>
        <w:t>Novel hybrid biomimetic microporous composites with tuned biodegradability, improved osteointegration and anticancer properties for bone tissue regeneration</w:t>
      </w:r>
      <w:r>
        <w:t>.</w:t>
      </w:r>
    </w:p>
    <w:p w14:paraId="228FDD1C" w14:textId="77777777" w:rsidR="00F2408D" w:rsidRDefault="001B4339">
      <w:pPr>
        <w:jc w:val="both"/>
        <w:rPr>
          <w:b/>
          <w:bCs/>
        </w:rPr>
      </w:pPr>
      <w:r>
        <w:rPr>
          <w:b/>
          <w:bCs/>
        </w:rPr>
        <w:t>Преглед и мишљење о стручном и научном раду</w:t>
      </w:r>
    </w:p>
    <w:p w14:paraId="04224894" w14:textId="77777777" w:rsidR="00F2408D" w:rsidRDefault="001B4339">
      <w:pPr>
        <w:jc w:val="both"/>
      </w:pPr>
      <w:r>
        <w:t xml:space="preserve">Др Тамара Влајић Товиловић учествује три школске године године успешно у извођењу практичне  наставе  на  предмету  Микробиологија  и  имунологија  на  основним интегрисаним  академским  студијама,  прво  као  инструктор  на  предмету  (2022–2025. године), а затим као сарадник у високом образовању.  Кандидат на јасан и разумљив начин објашњава градиво из микробиологије, показујући добро познавање области и способност да знање пренесе студентима. </w:t>
      </w:r>
    </w:p>
    <w:p w14:paraId="3246FB3B" w14:textId="77777777" w:rsidR="00F2408D" w:rsidRDefault="001B4339">
      <w:pPr>
        <w:jc w:val="both"/>
      </w:pPr>
      <w:r>
        <w:t xml:space="preserve">У оквиру својих научних активности др Тамара Влајић Товиловић је савладала одређене микробиолошке  методе.  Истраживачку делатност започела је током основних студија анализом антимикробног потенцијала различитих есенцијалних уља на </w:t>
      </w:r>
      <w:r>
        <w:rPr>
          <w:i/>
          <w:iCs/>
        </w:rPr>
        <w:t>Enterococcus faecalis,</w:t>
      </w:r>
      <w:r>
        <w:t xml:space="preserve"> један од најчешћих узрочника перзистентних ендодонтских инфекција. У оквиру докторске дисертације под називом </w:t>
      </w:r>
      <w:r>
        <w:rPr>
          <w:i/>
          <w:iCs/>
        </w:rPr>
        <w:t>„Својства ново-синтетисаног цемента на бази калцијум-фосфата допираног јонима стронцијума, бакра и цинка са додатком ацетилсалицилне киселине“</w:t>
      </w:r>
      <w:r>
        <w:t>,  синтетисала је биоактивни цемент са антимикробним својством индикованог за примену у рестауративној стоматологији и ендодонтској терапији. Истраживање овог цемента у оквиру микробиолошке лаборије обухвата испитивање антибиофилм дејства на патогене, најчешће изазиваче обољења каријеса и ендодонтских обољења.</w:t>
      </w:r>
    </w:p>
    <w:p w14:paraId="6820D961" w14:textId="77777777" w:rsidR="00F2408D" w:rsidRDefault="001B4339">
      <w:pPr>
        <w:jc w:val="both"/>
      </w:pPr>
      <w:r>
        <w:t xml:space="preserve">Током учешћа на пројекту Фонда за науку Републике Србије (програм ИДЕЈА) под називом </w:t>
      </w:r>
      <w:r>
        <w:rPr>
          <w:i/>
          <w:iCs/>
        </w:rPr>
        <w:t>„Oral cancer – new approaches in prevention, control and post-operative regeneration – an in vitro study“</w:t>
      </w:r>
      <w:r>
        <w:t xml:space="preserve">, учествовала је у развоју и оптимизацији </w:t>
      </w:r>
      <w:r>
        <w:rPr>
          <w:i/>
          <w:iCs/>
        </w:rPr>
        <w:t xml:space="preserve">in vitro </w:t>
      </w:r>
      <w:r>
        <w:t xml:space="preserve">модела ко-културе пробиотских сојева и ћелијских линија, испитујући антиканцерогени потенцијал пробиотика. Тренутно је ангажована на пројекту Фонда за науку (програм ПРИЗМА) </w:t>
      </w:r>
      <w:r>
        <w:rPr>
          <w:i/>
          <w:iCs/>
        </w:rPr>
        <w:t>„Novel hybrid biomimetic microporous composites with tuned biodegradability, improved osteointegration and anticancer properties for bone tissue regeneration – HyBioComBone“,</w:t>
      </w:r>
      <w:r>
        <w:t xml:space="preserve"> где учествује у испитивању антибиофилм својстава иновативних биомиметичких материјала.</w:t>
      </w:r>
    </w:p>
    <w:p w14:paraId="4F403B00" w14:textId="77777777" w:rsidR="00F2408D" w:rsidRDefault="001B4339">
      <w:pPr>
        <w:jc w:val="both"/>
      </w:pPr>
      <w:r>
        <w:t>Поред истраживања спроведених у оквиру пројеката Фонда за науку и докторске дисертације, др Тамара Влајић Товиловић активно учествује у истраживањима која се реализују у Лабораторији за микробиологију Стоматолошког факултета Универзитета у Београду, У оквиру лабораторије учествује у испитивању антимикробних и антибиофилм својстава комерцијалних и експерименталних денталних материјала.</w:t>
      </w:r>
    </w:p>
    <w:p w14:paraId="6E2443E4" w14:textId="77777777" w:rsidR="00F2408D" w:rsidRDefault="001B4339">
      <w:pPr>
        <w:jc w:val="both"/>
      </w:pPr>
      <w:r>
        <w:t xml:space="preserve">Такође, учествује у истраживањима која се односе на развој </w:t>
      </w:r>
      <w:r>
        <w:rPr>
          <w:i/>
          <w:iCs/>
        </w:rPr>
        <w:t>in vitro</w:t>
      </w:r>
      <w:r>
        <w:t xml:space="preserve"> модела ко-културе еукариотских и прокариотских ћелија, којима се симулирају физиолошки и патолошки </w:t>
      </w:r>
      <w:r>
        <w:lastRenderedPageBreak/>
        <w:t>услови у усној дупљи. У оквиру ових истраживања примењују се савремене методе анализе, укључујући CFU квантитацију, тестове метаболичке активности (MTT, XTT) и молекуларне технике (qPCR, PMA-qPCR), које омогућавају прецизну процену виталности и активности микроорганизама у биофилмском облику.</w:t>
      </w:r>
    </w:p>
    <w:p w14:paraId="004D7A51" w14:textId="77777777" w:rsidR="00F2408D" w:rsidRDefault="001B4339">
      <w:pPr>
        <w:jc w:val="both"/>
      </w:pPr>
      <w:r>
        <w:t>До сада је као аутор или коаутор објавила седам радова у часописима који се налазе на Web of Science листи, са следећом расподелом по категоријама: два рада у међународним часописима изузетних вредности категорије М21а, три рада у врхунским међународним часописима категорије М21, и два рада у часописима категорије М22. Објавила је и један рад у водећем националном часопису категорије М51. До сада је саопштила укупно девет радова на међународним научним скуповима штампаним у изводима категорије М34, као и два рада на скуповима националног значаја категорије М64.</w:t>
      </w:r>
    </w:p>
    <w:p w14:paraId="375A2BE6" w14:textId="77777777" w:rsidR="00F2408D" w:rsidRDefault="001B4339">
      <w:pPr>
        <w:jc w:val="both"/>
      </w:pPr>
      <w:r>
        <w:t xml:space="preserve"> </w:t>
      </w:r>
    </w:p>
    <w:p w14:paraId="1952F26C" w14:textId="77777777" w:rsidR="00F2408D" w:rsidRDefault="001B4339">
      <w:pPr>
        <w:jc w:val="both"/>
        <w:rPr>
          <w:b/>
          <w:bCs/>
        </w:rPr>
      </w:pPr>
      <w:r>
        <w:rPr>
          <w:b/>
          <w:bCs/>
        </w:rPr>
        <w:t>Рад у међународном часопису изузетних вредности - М21а</w:t>
      </w:r>
    </w:p>
    <w:p w14:paraId="1E2ACF43" w14:textId="77777777" w:rsidR="00F2408D" w:rsidRDefault="001B4339">
      <w:pPr>
        <w:numPr>
          <w:ilvl w:val="0"/>
          <w:numId w:val="1"/>
        </w:numPr>
        <w:spacing w:after="0"/>
        <w:jc w:val="both"/>
        <w:rPr>
          <w:color w:val="000000"/>
        </w:rPr>
      </w:pPr>
      <w:r>
        <w:rPr>
          <w:color w:val="000000"/>
        </w:rPr>
        <w:t xml:space="preserve">Peric Mirjana, Petrovic Sanja, Cairovic Aleksandra, </w:t>
      </w:r>
      <w:r>
        <w:rPr>
          <w:b/>
          <w:bCs/>
          <w:color w:val="000000"/>
        </w:rPr>
        <w:t>Vlajic Tovilovic Tamara</w:t>
      </w:r>
      <w:r>
        <w:rPr>
          <w:color w:val="000000"/>
        </w:rPr>
        <w:t>, Racic Aleksandar, Panajotovic Radmila, Zivkovic Rade, Milicic Biljana, Radunovic Milena (2025). Influence of ageing on surface properties and biofilm adhesion on denture base resin material fabricated by different manufacturing techniques. CLINICAL ORAL INVESTIGATIONS, vol. 29, br. 9, article number 423. (Kategorija</w:t>
      </w:r>
      <w:r>
        <w:rPr>
          <w:b/>
          <w:bCs/>
          <w:color w:val="000000"/>
        </w:rPr>
        <w:t xml:space="preserve"> M21a</w:t>
      </w:r>
      <w:r>
        <w:rPr>
          <w:color w:val="000000"/>
        </w:rPr>
        <w:t>; IF2 2024 = 3.1, IF5 2024 = 3.6, JCI 2023 = 1.34)</w:t>
      </w:r>
    </w:p>
    <w:p w14:paraId="6B5DEF64" w14:textId="77777777" w:rsidR="00F2408D" w:rsidRDefault="001B4339">
      <w:pPr>
        <w:numPr>
          <w:ilvl w:val="0"/>
          <w:numId w:val="1"/>
        </w:numPr>
        <w:jc w:val="both"/>
        <w:rPr>
          <w:color w:val="000000"/>
        </w:rPr>
      </w:pPr>
      <w:r>
        <w:rPr>
          <w:color w:val="000000"/>
        </w:rPr>
        <w:t xml:space="preserve">Radunovic Milena, Petrini Morena, Vlajic Tamara, Iezzi Giovanna, Di Lodovico Silvia, Piattelli Adriano, D'Ercole Simonetta (2020). Effects of a novel gel containing 5-aminolevulinic acid and red LED against bacteria involved in peri-implantitis and other oral infections. JOURNAL OF PHOTOCHEMISTRY AND PHOTOBIOLOGY B-BIOLOGY, vol. 205, article number 111826. (Kategorija </w:t>
      </w:r>
      <w:r>
        <w:rPr>
          <w:b/>
          <w:bCs/>
          <w:color w:val="000000"/>
        </w:rPr>
        <w:t>M21a</w:t>
      </w:r>
      <w:r>
        <w:rPr>
          <w:color w:val="000000"/>
        </w:rPr>
        <w:t>; IF2 2020 = 6.252, IF5 2020 = 5.375, JCI 2020 = 1.31)</w:t>
      </w:r>
    </w:p>
    <w:p w14:paraId="0DB5B60F" w14:textId="77777777" w:rsidR="00F2408D" w:rsidRDefault="001B4339">
      <w:pPr>
        <w:jc w:val="both"/>
        <w:rPr>
          <w:b/>
          <w:bCs/>
        </w:rPr>
      </w:pPr>
      <w:r>
        <w:rPr>
          <w:b/>
          <w:bCs/>
        </w:rPr>
        <w:t>Радови у врхунским међународним часописима – М21</w:t>
      </w:r>
    </w:p>
    <w:p w14:paraId="0F161221" w14:textId="77777777" w:rsidR="00F2408D" w:rsidRDefault="001B4339">
      <w:pPr>
        <w:numPr>
          <w:ilvl w:val="0"/>
          <w:numId w:val="2"/>
        </w:numPr>
        <w:spacing w:after="0"/>
        <w:jc w:val="both"/>
        <w:rPr>
          <w:color w:val="000000"/>
        </w:rPr>
      </w:pPr>
      <w:r>
        <w:rPr>
          <w:color w:val="000000"/>
        </w:rPr>
        <w:t xml:space="preserve">Vlajic Tovilovic Tamara, Petrovic Sanja, Lazarevic Milos, Pavic Aleksandar, Plackic Nikola, Milovanovic Aleksa, Milosevic Milos, Miletic Vesna, Veljovic Djordje, Radunovic Milena (2024). Effect of Acetylsalicylic Acid on Biological Properties of Novel Cement Based on Calcium Phosphate Doped with Ions of Strontium, Copper, and Zinc. INTERNATIONAL JOURNAL OF MOLECULAR SCIENCES, vol. 25, br. 14, article number 7940. (Kategorija </w:t>
      </w:r>
      <w:r>
        <w:rPr>
          <w:b/>
          <w:bCs/>
          <w:color w:val="000000"/>
        </w:rPr>
        <w:t>M21</w:t>
      </w:r>
      <w:r>
        <w:rPr>
          <w:color w:val="000000"/>
        </w:rPr>
        <w:t>; IF2 2022 = 5.6, IF5 2022 = 6.2, JCI 2024 = 0.71)</w:t>
      </w:r>
    </w:p>
    <w:p w14:paraId="5CC223B3" w14:textId="77777777" w:rsidR="00F2408D" w:rsidRDefault="001B4339">
      <w:pPr>
        <w:numPr>
          <w:ilvl w:val="0"/>
          <w:numId w:val="2"/>
        </w:numPr>
        <w:spacing w:after="0"/>
        <w:jc w:val="both"/>
        <w:rPr>
          <w:color w:val="000000"/>
        </w:rPr>
      </w:pPr>
      <w:r>
        <w:rPr>
          <w:color w:val="000000"/>
        </w:rPr>
        <w:t xml:space="preserve">Vulovic Stefan, Todorovic Aleksandar, Toljic Bosko, Nikolic-Jakoba Natasa, Vlajic Tovilovic Tamara, Milic-Lemic Aleksandra (2024). Evaluation of early bacterial adhesion on CAD/CAM dental materials: an in situ study. ODONTOLOGY, vol. 113, str. 101-110. (Kategorija </w:t>
      </w:r>
      <w:r>
        <w:rPr>
          <w:b/>
          <w:bCs/>
          <w:color w:val="000000"/>
        </w:rPr>
        <w:t>M21</w:t>
      </w:r>
      <w:r>
        <w:rPr>
          <w:color w:val="000000"/>
        </w:rPr>
        <w:t>; IF2 2022 = 2.5, IF5 2024 = 2.7, JCI 2022 = 1.06)</w:t>
      </w:r>
    </w:p>
    <w:p w14:paraId="1EE06E35" w14:textId="77777777" w:rsidR="00F2408D" w:rsidRDefault="001B4339">
      <w:pPr>
        <w:numPr>
          <w:ilvl w:val="0"/>
          <w:numId w:val="2"/>
        </w:numPr>
        <w:jc w:val="both"/>
        <w:rPr>
          <w:color w:val="000000"/>
        </w:rPr>
      </w:pPr>
      <w:r>
        <w:rPr>
          <w:color w:val="000000"/>
        </w:rPr>
        <w:t xml:space="preserve">4. Lazarevic Milos, Petrovic Sanja, Pierfelice Tania Vanessa, Ignjatovic Nenad, Piattelli Adriano, Vlajic Tovilovic Tamara, Radunovic Milena (2023). Antimicrobial and </w:t>
      </w:r>
      <w:r>
        <w:rPr>
          <w:color w:val="000000"/>
        </w:rPr>
        <w:lastRenderedPageBreak/>
        <w:t xml:space="preserve">Osteogenic Effects of Collagen Membrane Decorated with Chitosan-Nano-Hydroxyapatite. BIOMOLECULES, vol. 13, br. 4, article number 579- (Kategorija </w:t>
      </w:r>
      <w:r>
        <w:rPr>
          <w:b/>
          <w:bCs/>
          <w:color w:val="000000"/>
        </w:rPr>
        <w:t>M21</w:t>
      </w:r>
      <w:r>
        <w:rPr>
          <w:color w:val="000000"/>
        </w:rPr>
        <w:t>; IF2 2021 = 6.064, IF5 2021 = 6.191, JCI 2022 = 0.81)</w:t>
      </w:r>
    </w:p>
    <w:p w14:paraId="22F0BB7A" w14:textId="77777777" w:rsidR="00F2408D" w:rsidRDefault="00F2408D">
      <w:pPr>
        <w:jc w:val="both"/>
      </w:pPr>
    </w:p>
    <w:p w14:paraId="0854F118" w14:textId="77777777" w:rsidR="00F2408D" w:rsidRDefault="001B4339">
      <w:pPr>
        <w:jc w:val="both"/>
        <w:rPr>
          <w:b/>
          <w:bCs/>
        </w:rPr>
      </w:pPr>
      <w:r>
        <w:rPr>
          <w:b/>
          <w:bCs/>
        </w:rPr>
        <w:t>Рад у истакнутом међународном часопису - М22</w:t>
      </w:r>
    </w:p>
    <w:p w14:paraId="3DB1DAEB" w14:textId="3E0AA829" w:rsidR="00F2408D" w:rsidRDefault="001B4339">
      <w:pPr>
        <w:numPr>
          <w:ilvl w:val="0"/>
          <w:numId w:val="3"/>
        </w:numPr>
        <w:spacing w:after="0"/>
        <w:jc w:val="both"/>
        <w:rPr>
          <w:color w:val="000000"/>
        </w:rPr>
      </w:pPr>
      <w:r>
        <w:rPr>
          <w:color w:val="000000"/>
        </w:rPr>
        <w:t>Kazuz Abdul, Radovanovic Zeljko, Veljovic Djordje, Kojic Vesna, Jakimov Dimitar, Vlajic Tovilovic Tamara, Miletic Vesna, Petrovic Rada, Janackovic Djordje (2022). Alpha-Tricalcium phosphate/fluorapatite-based cement - Promising dental root canal filling material. PROCESSING AND APPLICATION OF CERAMICS, vol. 16, br. 1, str. 22-29. (Kategorija M22; IF2 2020 = 1.804, IF5 2020 = 1.875, JCI 2020 = 0.39)</w:t>
      </w:r>
    </w:p>
    <w:p w14:paraId="6B2841DC" w14:textId="77777777" w:rsidR="00F2408D" w:rsidRDefault="001B4339">
      <w:pPr>
        <w:numPr>
          <w:ilvl w:val="0"/>
          <w:numId w:val="3"/>
        </w:numPr>
        <w:jc w:val="both"/>
        <w:rPr>
          <w:color w:val="000000"/>
        </w:rPr>
      </w:pPr>
      <w:r>
        <w:rPr>
          <w:color w:val="000000"/>
        </w:rPr>
        <w:t>Marinkovic Jelena, Markovic Tatjana, Nikolic Biljana, Ciric Ana, Mitic-Culafic Dragana, Djukanovic Stefana, Krstic Aleksandar, Pavlica Dusan, Vlajic Tamara, Markovic Dejan (2022). Biocompatibility and Antibacterial Potential of the Cinnamomum camphora cineoliferum (L.) J. Presl. and Melaleuca ericifolia Sm. Essential Oils Against Facultative and Obligate Endodontic Anaerobes. JOURNAL OF ESSENTIAL OIL BEARING PLANTS, vol. 25, br. 1, str. 111-125. (Kategorija M22; IF2 2022 = 2.4, IF5 2022 = 2.2, JCI 2022 = 0.59)</w:t>
      </w:r>
    </w:p>
    <w:p w14:paraId="0273829F" w14:textId="77777777" w:rsidR="00F2408D" w:rsidRDefault="001B4339">
      <w:pPr>
        <w:jc w:val="both"/>
        <w:rPr>
          <w:b/>
          <w:bCs/>
        </w:rPr>
      </w:pPr>
      <w:r>
        <w:rPr>
          <w:b/>
          <w:bCs/>
        </w:rPr>
        <w:t>Рад у врхунском часопису националног значаја -М51</w:t>
      </w:r>
    </w:p>
    <w:p w14:paraId="2466BE3E" w14:textId="77777777" w:rsidR="00F2408D" w:rsidRDefault="001B4339">
      <w:pPr>
        <w:numPr>
          <w:ilvl w:val="0"/>
          <w:numId w:val="4"/>
        </w:numPr>
        <w:jc w:val="both"/>
        <w:rPr>
          <w:color w:val="000000"/>
        </w:rPr>
      </w:pPr>
      <w:r>
        <w:rPr>
          <w:color w:val="000000"/>
        </w:rPr>
        <w:t>Opacic-Galic Vanja, Adzic Savo, Dzeletovic Bojan, Vlajić Tamara (2021). In vitro study of essential oils efficacy as alternative solvents in endodontic retreatment. STOMATOLOŠKI GLASNIK SRBIJE. Jan 1;68:173–80.</w:t>
      </w:r>
    </w:p>
    <w:p w14:paraId="149D1803" w14:textId="77777777" w:rsidR="00F2408D" w:rsidRDefault="001B4339">
      <w:pPr>
        <w:jc w:val="both"/>
        <w:rPr>
          <w:b/>
          <w:bCs/>
        </w:rPr>
      </w:pPr>
      <w:r>
        <w:rPr>
          <w:b/>
          <w:bCs/>
        </w:rPr>
        <w:t>Списак научних саопштења</w:t>
      </w:r>
    </w:p>
    <w:p w14:paraId="69AEDA25" w14:textId="77777777" w:rsidR="00F2408D" w:rsidRDefault="001B4339">
      <w:pPr>
        <w:jc w:val="both"/>
        <w:rPr>
          <w:b/>
          <w:bCs/>
        </w:rPr>
      </w:pPr>
      <w:r>
        <w:rPr>
          <w:b/>
          <w:bCs/>
        </w:rPr>
        <w:t>Саопштења са међународних скупова штампана у изводу - М34</w:t>
      </w:r>
    </w:p>
    <w:p w14:paraId="73F399FA" w14:textId="77777777" w:rsidR="00F2408D" w:rsidRDefault="001B4339">
      <w:pPr>
        <w:jc w:val="both"/>
      </w:pPr>
      <w:r>
        <w:t xml:space="preserve">1. Tamara Vlajić Tovilović, Sanja Petrović, Miloš Lazarević, Dušan Pavlica, Natalija Di Pietro, Tea Romasco, Milena Radunović. Paroxol®: a novel biocompatible product for biofilm prevention and treatment. 29. Kongres Balkanskog stomatološkog društva, 24–26. april 2025, Beograd, Srbija. </w:t>
      </w:r>
    </w:p>
    <w:p w14:paraId="6366F22C" w14:textId="77777777" w:rsidR="00F2408D" w:rsidRDefault="001B4339">
      <w:pPr>
        <w:jc w:val="both"/>
      </w:pPr>
      <w:r>
        <w:t>2. Mina Pajić, Irina Đalović, Sanja Petrović, Dušan Kosanović, Tamara Vlajić Tovilović, Milena Radunović, Dušan Pavlica. Quantification of S. mutans and lactic activity of oral acidogenic bacteria related to oral hygiene. 29. Kongres Balkanskog stomatološkog društva, 24–26. april 2025, Beograd, Srbija.</w:t>
      </w:r>
    </w:p>
    <w:p w14:paraId="7F65609E" w14:textId="77777777" w:rsidR="00F2408D" w:rsidRDefault="001B4339">
      <w:pPr>
        <w:jc w:val="both"/>
      </w:pPr>
      <w:r>
        <w:t>3. Milena Milanović, Biljana Anđelski Radičević, Ivana Vukašinović, Tamara Vlajić Tovilović, Sanja Petrović, Milena Radunović, Miloš Beloica. Effect of different white spot lesion treatments on Candida albicans biofilm formation. 29. Kongres Balkanskog stomatološkog društva, 24–26. april 2025, Beograd, Srbija.</w:t>
      </w:r>
    </w:p>
    <w:p w14:paraId="6F38770B" w14:textId="77777777" w:rsidR="00F2408D" w:rsidRDefault="001B4339">
      <w:pPr>
        <w:jc w:val="both"/>
      </w:pPr>
      <w:r>
        <w:lastRenderedPageBreak/>
        <w:t>4. Teodora Jakovljević, Olivera Dekanić, Tamara Matić, Vukasin Ugrinović, Tamara Vlajić, Milena Radunović, Đorđe Veljović. Impact of Antimicrobial Composite Coatings on the Performance of 3D-Printed Macroporous Scaffolds for Bone Tissue Engineering. TWENTY-SIXTH ANNUAL CONFERENCE YUCOMAT 2025, Herceg Novi, 1– 5. septembar 2025.</w:t>
      </w:r>
    </w:p>
    <w:p w14:paraId="643BE5B1" w14:textId="77777777" w:rsidR="00F2408D" w:rsidRDefault="001B4339">
      <w:pPr>
        <w:jc w:val="both"/>
      </w:pPr>
      <w:r>
        <w:t>5. Tamara Vlajić Tovilović, Sanja Petrović, Miloš Lazarević, Dijana Trišić, Milica Jakšić, Nađa Nikolić, Jelena Čarkić, Milena Radunović, Sanja Petrović, Jelena Milašin. Effects of Lactobacillus salivarius on AKT/mTOR and Notch Pathway Gene Expression in Dysplastic Oral Keratinocytes. 7. Kongres Srpskog genetičkog društva, 2–5. oktobar 2024, Zlatibor, Srbija.</w:t>
      </w:r>
    </w:p>
    <w:p w14:paraId="68E7AB83" w14:textId="77777777" w:rsidR="00F2408D" w:rsidRDefault="001B4339">
      <w:pPr>
        <w:jc w:val="both"/>
      </w:pPr>
      <w:r>
        <w:t>6. Tamara Vlajić Tovilović, Milena Radunović, Sanja Petrović, Đorđe Veljović, Miloš Lazarević, Dušan Pavlica. Biological Properties of Calcium Phosphate Based Cement with Acetylsalicylic Acid. ED/NOF-IADR 2024 Oral Health Research Congress, Ženeva, Švajcarska, 12–14. septembar 2024.</w:t>
      </w:r>
    </w:p>
    <w:p w14:paraId="1AABB63B" w14:textId="77777777" w:rsidR="00F2408D" w:rsidRDefault="001B4339">
      <w:pPr>
        <w:jc w:val="both"/>
      </w:pPr>
      <w:r>
        <w:t>7. Danica Popović Antić, Vojkan Lazić, Filip Ivanjac, Minja Miličić Lazić, Sanja Petrović, Tamara Vlajić Tovilović, Igor Đorđević, Milena Radunović. Antibiofilm effect of PMMA dentures reinforced with nanogold. 34. godišnji kongres New frontiers in Gerodontology, 6–7. jun 2024, Beograd, Srbija.</w:t>
      </w:r>
    </w:p>
    <w:p w14:paraId="487AAFA7" w14:textId="77777777" w:rsidR="00F2408D" w:rsidRDefault="001B4339">
      <w:pPr>
        <w:jc w:val="both"/>
      </w:pPr>
      <w:r>
        <w:t>8. Ivana Milanović, Sanja Petrović, Danilo Pavlović, Tamara Vlajić, Dušan Pavlica. Assessment of antimicrobial properties of Calcium Silicate-Based Sealers. 25. Kongres Balkanskog stomatološkog društva, 11–14. maj 2023, Skoplje, Makedonija.</w:t>
      </w:r>
    </w:p>
    <w:p w14:paraId="25B178AE" w14:textId="77777777" w:rsidR="00F2408D" w:rsidRDefault="001B4339">
      <w:pPr>
        <w:jc w:val="both"/>
      </w:pPr>
      <w:r>
        <w:t>9. Tamara Vlajić, Đorđe Veljović, Aleksa Milovanović, Vesna Miletić. Citric acid, polyethylene glycol, and hydroxypropyl methylcellulose as modifiers of doped calcium phosphate cement properties. TWENTY-SECOND ANNUAL CONFERENCE YUCOMAT 2021, Herceg Novi, 30. avgust – 3. septembar 2021.</w:t>
      </w:r>
    </w:p>
    <w:p w14:paraId="246F6AFA" w14:textId="77777777" w:rsidR="00F2408D" w:rsidRDefault="001B4339">
      <w:pPr>
        <w:jc w:val="both"/>
        <w:rPr>
          <w:b/>
          <w:bCs/>
        </w:rPr>
      </w:pPr>
      <w:r>
        <w:rPr>
          <w:b/>
          <w:bCs/>
        </w:rPr>
        <w:t>Саопштења са скупова националног значаја (М64):</w:t>
      </w:r>
    </w:p>
    <w:p w14:paraId="6167C266" w14:textId="77777777" w:rsidR="00F2408D" w:rsidRDefault="001B4339">
      <w:pPr>
        <w:jc w:val="both"/>
      </w:pPr>
      <w:r>
        <w:t>1. Sanja Petrović, Nina Dimitrijević Jovanović, Milena Radunović, Tamara Vlajić Tovilović, Ana Pucar, Dušan Pavlica. Detekcija gljivica roda Candida kod pušača i nepušača. 7. Međunarodni kongres doktora stomatologije, 27–28. septembar 2024, Foča, Bosna i Hercegovina.</w:t>
      </w:r>
    </w:p>
    <w:p w14:paraId="6499AB21" w14:textId="77777777" w:rsidR="00F2408D" w:rsidRDefault="001B4339">
      <w:pPr>
        <w:jc w:val="both"/>
      </w:pPr>
      <w:r>
        <w:t>2. Milena Radunović, Vera Ivanović, Ana Pucar, Tamara Vlajić, Dušan Pavlica, Sanja Petrović. Collagene membranes functionalized by graphene oxide – antibiofilm activity. 20. Kongres stomatologa Srbije, 30. septembar – 3. oktobar 2021, onlajn kongres.</w:t>
      </w:r>
    </w:p>
    <w:p w14:paraId="7646F64A" w14:textId="77777777" w:rsidR="00F2408D" w:rsidRDefault="00F2408D">
      <w:pPr>
        <w:jc w:val="both"/>
      </w:pPr>
    </w:p>
    <w:p w14:paraId="1B6364E7" w14:textId="77777777" w:rsidR="00F2408D" w:rsidRDefault="00F2408D">
      <w:pPr>
        <w:jc w:val="both"/>
      </w:pPr>
    </w:p>
    <w:p w14:paraId="4F22BAAC" w14:textId="77777777" w:rsidR="00F2408D" w:rsidRDefault="00F2408D">
      <w:pPr>
        <w:jc w:val="both"/>
      </w:pPr>
    </w:p>
    <w:p w14:paraId="026040A4" w14:textId="29178714" w:rsidR="00F2408D" w:rsidRDefault="001B4339">
      <w:pPr>
        <w:jc w:val="both"/>
        <w:rPr>
          <w:lang w:val="sr-Cyrl-RS"/>
        </w:rPr>
      </w:pPr>
      <w:r>
        <w:rPr>
          <w:noProof/>
          <w:lang w:val="sr-Cyrl-RS"/>
        </w:rPr>
        <w:lastRenderedPageBreak/>
        <w:drawing>
          <wp:inline distT="0" distB="0" distL="0" distR="0" wp14:anchorId="575345DB" wp14:editId="050A5FB7">
            <wp:extent cx="5920740" cy="7162027"/>
            <wp:effectExtent l="0" t="0" r="3810" b="1270"/>
            <wp:docPr id="1149161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7614" cy="7170342"/>
                    </a:xfrm>
                    <a:prstGeom prst="rect">
                      <a:avLst/>
                    </a:prstGeom>
                    <a:noFill/>
                    <a:ln>
                      <a:noFill/>
                    </a:ln>
                  </pic:spPr>
                </pic:pic>
              </a:graphicData>
            </a:graphic>
          </wp:inline>
        </w:drawing>
      </w:r>
    </w:p>
    <w:p w14:paraId="419C7320" w14:textId="77777777" w:rsidR="00F2408D" w:rsidRDefault="00F2408D">
      <w:pPr>
        <w:jc w:val="both"/>
      </w:pPr>
    </w:p>
    <w:p w14:paraId="29F9582A" w14:textId="77777777" w:rsidR="00F2408D" w:rsidRDefault="00F2408D">
      <w:pPr>
        <w:jc w:val="both"/>
      </w:pPr>
    </w:p>
    <w:p w14:paraId="7667821B" w14:textId="77777777" w:rsidR="001B4339" w:rsidRDefault="001B4339">
      <w:pPr>
        <w:jc w:val="both"/>
      </w:pPr>
    </w:p>
    <w:p w14:paraId="5DB7FCF3" w14:textId="07342476" w:rsidR="00F2408D" w:rsidRDefault="001B4339">
      <w:pPr>
        <w:jc w:val="both"/>
      </w:pPr>
      <w:r>
        <w:lastRenderedPageBreak/>
        <w:t>Име и презиме: Тамара Влајић Товиловић</w:t>
      </w:r>
    </w:p>
    <w:p w14:paraId="766FF13B" w14:textId="77777777" w:rsidR="00F2408D" w:rsidRDefault="001B4339">
      <w:pPr>
        <w:jc w:val="both"/>
      </w:pPr>
      <w:r>
        <w:t xml:space="preserve">Звање  у  које  се  бира: Асистент </w:t>
      </w:r>
    </w:p>
    <w:p w14:paraId="3F866769" w14:textId="77777777" w:rsidR="00F2408D" w:rsidRDefault="001B4339">
      <w:pPr>
        <w:jc w:val="both"/>
      </w:pPr>
      <w:r>
        <w:t>Ужа научна област за коју се бира: Базичне стоматолошке науке – Микробиологија са имунологијом</w:t>
      </w:r>
    </w:p>
    <w:p w14:paraId="2239EE1B" w14:textId="77777777" w:rsidR="00F2408D" w:rsidRDefault="001B4339">
      <w:pPr>
        <w:jc w:val="both"/>
        <w:rPr>
          <w:b/>
          <w:bCs/>
        </w:rPr>
      </w:pPr>
      <w:r>
        <w:rPr>
          <w:b/>
          <w:bCs/>
        </w:rPr>
        <w:t>ЗАКЉУЧАК И ПРЕДЛОГ</w:t>
      </w:r>
    </w:p>
    <w:p w14:paraId="237035D0" w14:textId="77777777" w:rsidR="00F2408D" w:rsidRDefault="001B4339">
      <w:pPr>
        <w:jc w:val="both"/>
      </w:pPr>
      <w:r>
        <w:t>На основу увида и анализе документације приложене на конкурсу за избор једног асистента за ужу научну област Базичне стоматолошке науке, наставни предмет Микробиологија и имунологија, кандидат др Тамара Влајић Товиловић испуњава све законске  услове  конкурса  у  складу  са  статутом  Стоматолошког  факултета, Универзитета  у  Београду,  јер показује смисао за наставни и научни рад.</w:t>
      </w:r>
    </w:p>
    <w:p w14:paraId="22CD224A" w14:textId="77777777" w:rsidR="00F2408D" w:rsidRDefault="001B4339">
      <w:pPr>
        <w:jc w:val="both"/>
      </w:pPr>
      <w:r>
        <w:t>Имајући  у  виду  да  кандидат  испуњава  услове  конкурса,  чланови  Комисије предлажу  Изборном  већу  Стоматолошког  факултета  Универзитета  у  Београду,  да утврди  предлог  комисије  и  изабере  др Тамару Влајић Товиловић  у  звање  асистента за  ужу  научну  област  Базичне  стоматолошке  науке,  наставни  предмет Микробиологија и имунологија.</w:t>
      </w:r>
    </w:p>
    <w:p w14:paraId="32A92D6D" w14:textId="77777777" w:rsidR="00F2408D" w:rsidRDefault="001B4339">
      <w:pPr>
        <w:jc w:val="both"/>
      </w:pPr>
      <w:r>
        <w:t>Београд, _______________ године</w:t>
      </w:r>
    </w:p>
    <w:p w14:paraId="1F407F73" w14:textId="77777777" w:rsidR="00F2408D" w:rsidRDefault="001B4339">
      <w:pPr>
        <w:jc w:val="both"/>
      </w:pPr>
      <w:r>
        <w:t>Чланови Комисије:</w:t>
      </w:r>
    </w:p>
    <w:p w14:paraId="086611E2" w14:textId="77777777" w:rsidR="00F2408D" w:rsidRDefault="001B4339">
      <w:pPr>
        <w:jc w:val="both"/>
      </w:pPr>
      <w:r>
        <w:t>1.  ____________________________________</w:t>
      </w:r>
    </w:p>
    <w:p w14:paraId="4EC8B9EE" w14:textId="77777777" w:rsidR="00F2408D" w:rsidRDefault="001B4339">
      <w:pPr>
        <w:jc w:val="both"/>
      </w:pPr>
      <w:r>
        <w:t>Проф. др Душан Павлица</w:t>
      </w:r>
    </w:p>
    <w:p w14:paraId="0591CD76" w14:textId="77777777" w:rsidR="00F2408D" w:rsidRDefault="001B4339">
      <w:pPr>
        <w:jc w:val="both"/>
      </w:pPr>
      <w:r>
        <w:t>(Стоматолошки факултет, Универзитет у Београду)</w:t>
      </w:r>
    </w:p>
    <w:p w14:paraId="4583CDDB" w14:textId="77777777" w:rsidR="00F2408D" w:rsidRDefault="001B4339">
      <w:pPr>
        <w:jc w:val="both"/>
      </w:pPr>
      <w:r>
        <w:t>2.  ____________________________________</w:t>
      </w:r>
    </w:p>
    <w:p w14:paraId="6C7D27EB" w14:textId="77777777" w:rsidR="00F2408D" w:rsidRDefault="001B4339">
      <w:pPr>
        <w:jc w:val="both"/>
      </w:pPr>
      <w:r>
        <w:t>Проф. др Маја Ћупић</w:t>
      </w:r>
    </w:p>
    <w:p w14:paraId="187148A7" w14:textId="77777777" w:rsidR="00F2408D" w:rsidRDefault="001B4339">
      <w:pPr>
        <w:jc w:val="both"/>
      </w:pPr>
      <w:r>
        <w:t>(Медицински факултет, Универзитет у Београду)</w:t>
      </w:r>
    </w:p>
    <w:p w14:paraId="4CFCDFE5" w14:textId="77777777" w:rsidR="00F2408D" w:rsidRDefault="001B4339">
      <w:pPr>
        <w:jc w:val="both"/>
      </w:pPr>
      <w:r>
        <w:t>3.  ____________________________________</w:t>
      </w:r>
    </w:p>
    <w:p w14:paraId="1C263AFF" w14:textId="77777777" w:rsidR="00F2408D" w:rsidRDefault="001B4339">
      <w:pPr>
        <w:jc w:val="both"/>
      </w:pPr>
      <w:r>
        <w:t>Доц. др Милена Радуновић</w:t>
      </w:r>
    </w:p>
    <w:p w14:paraId="01B20435" w14:textId="77777777" w:rsidR="00F2408D" w:rsidRDefault="001B4339">
      <w:pPr>
        <w:jc w:val="both"/>
      </w:pPr>
      <w:r>
        <w:t>(Стоматолошки факултет,  Универзитет у Београду).</w:t>
      </w:r>
    </w:p>
    <w:sectPr w:rsidR="00F2408D">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99AF7" w14:textId="77777777" w:rsidR="004F41FE" w:rsidRDefault="004F41FE">
      <w:pPr>
        <w:spacing w:line="240" w:lineRule="auto"/>
      </w:pPr>
      <w:r>
        <w:separator/>
      </w:r>
    </w:p>
  </w:endnote>
  <w:endnote w:type="continuationSeparator" w:id="0">
    <w:p w14:paraId="65EF03B6" w14:textId="77777777" w:rsidR="004F41FE" w:rsidRDefault="004F41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embedRegular r:id="rId1" w:fontKey="{680C5159-B4DF-4BF6-8C81-5E37C8B5EE5C}"/>
    <w:embedBold r:id="rId2" w:fontKey="{FA816760-5001-41FD-BE7F-A1CBACE3CFCC}"/>
    <w:embedItalic r:id="rId3" w:fontKey="{5E9C336A-6DFC-4AA7-991B-EEB27D08F94A}"/>
    <w:embedBoldItalic r:id="rId4" w:fontKey="{DFB03F68-54E2-4F9E-8F31-5E389ED3D509}"/>
  </w:font>
  <w:font w:name="Calibri">
    <w:panose1 w:val="020F0502020204030204"/>
    <w:charset w:val="EE"/>
    <w:family w:val="swiss"/>
    <w:pitch w:val="variable"/>
    <w:sig w:usb0="E4002EFF" w:usb1="C200247B" w:usb2="00000009" w:usb3="00000000" w:csb0="000001FF" w:csb1="00000000"/>
    <w:embedRegular r:id="rId5" w:fontKey="{B729265C-1130-4D95-AF08-754ABF575CF7}"/>
    <w:embedBold r:id="rId6" w:fontKey="{C6973A0F-AFAC-4FC3-A0A3-999DF9075041}"/>
    <w:embedItalic r:id="rId7" w:fontKey="{C8EA8F00-F6CE-4F1E-BD9D-B213621388D2}"/>
    <w:embedBoldItalic r:id="rId8" w:fontKey="{2812BB77-F9CC-4630-8025-740D1685A33A}"/>
  </w:font>
  <w:font w:name="Courier">
    <w:panose1 w:val="020703090202050204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8A9C4" w14:textId="77777777" w:rsidR="004F41FE" w:rsidRDefault="004F41FE">
      <w:pPr>
        <w:spacing w:after="0"/>
      </w:pPr>
      <w:r>
        <w:separator/>
      </w:r>
    </w:p>
  </w:footnote>
  <w:footnote w:type="continuationSeparator" w:id="0">
    <w:p w14:paraId="73FDE0FA" w14:textId="77777777" w:rsidR="004F41FE" w:rsidRDefault="004F41F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F205925"/>
    <w:multiLevelType w:val="multilevel"/>
    <w:tmpl w:val="BF2059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CF092B84"/>
    <w:multiLevelType w:val="multilevel"/>
    <w:tmpl w:val="CF092B84"/>
    <w:lvl w:ilvl="0">
      <w:start w:val="1"/>
      <w:numFmt w:val="decimal"/>
      <w:pStyle w:val="ListBullet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53208E"/>
    <w:multiLevelType w:val="multilevel"/>
    <w:tmpl w:val="0053208E"/>
    <w:lvl w:ilvl="0">
      <w:start w:val="1"/>
      <w:numFmt w:val="decimal"/>
      <w:pStyle w:val="List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9ADCABA"/>
    <w:multiLevelType w:val="multilevel"/>
    <w:tmpl w:val="59ADCABA"/>
    <w:lvl w:ilvl="0">
      <w:start w:val="1"/>
      <w:numFmt w:val="decimal"/>
      <w:pStyle w:val="ListBullet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31814840">
    <w:abstractNumId w:val="2"/>
  </w:num>
  <w:num w:numId="2" w16cid:durableId="1151677996">
    <w:abstractNumId w:val="1"/>
  </w:num>
  <w:num w:numId="3" w16cid:durableId="1099834412">
    <w:abstractNumId w:val="3"/>
  </w:num>
  <w:num w:numId="4" w16cid:durableId="3982096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08D"/>
    <w:rsid w:val="001B4339"/>
    <w:rsid w:val="004F41FE"/>
    <w:rsid w:val="008C3D19"/>
    <w:rsid w:val="00CD5EF2"/>
    <w:rsid w:val="00ED0177"/>
    <w:rsid w:val="00F2408D"/>
    <w:rsid w:val="447E25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AE4CE1"/>
  <w15:docId w15:val="{DB461A60-DDFB-43CC-8F51-FAF5292FD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heading 1" w:qFormat="1"/>
    <w:lsdException w:name="heading 3"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unhideWhenUsed="1"/>
    <w:lsdException w:name="footer" w:uiPriority="99" w:unhideWhenUsed="1"/>
    <w:lsdException w:name="caption" w:semiHidden="1" w:uiPriority="35" w:unhideWhenUsed="1" w:qFormat="1"/>
    <w:lsdException w:name="macro" w:uiPriority="99" w:unhideWhenUsed="1" w:qFormat="1"/>
    <w:lsdException w:name="List" w:uiPriority="99" w:unhideWhenUsed="1" w:qFormat="1"/>
    <w:lsdException w:name="List Bullet" w:uiPriority="99" w:unhideWhenUsed="1" w:qFormat="1"/>
    <w:lsdException w:name="List Number" w:uiPriority="99" w:unhideWhenUsed="1" w:qFormat="1"/>
    <w:lsdException w:name="List 2" w:uiPriority="99" w:unhideWhenUsed="1" w:qFormat="1"/>
    <w:lsdException w:name="List 3" w:uiPriority="99" w:unhideWhenUsed="1" w:qFormat="1"/>
    <w:lsdException w:name="List Bullet 2" w:uiPriority="99" w:unhideWhenUsed="1"/>
    <w:lsdException w:name="List Bullet 3" w:uiPriority="99" w:unhideWhenUsed="1" w:qFormat="1"/>
    <w:lsdException w:name="List Number 2" w:uiPriority="99" w:unhideWhenUsed="1" w:qFormat="1"/>
    <w:lsdException w:name="List Number 3" w:uiPriority="99" w:unhideWhenUsed="1" w:qFormat="1"/>
    <w:lsdException w:name="Default Paragraph Font" w:uiPriority="1" w:unhideWhenUsed="1"/>
    <w:lsdException w:name="Body Text" w:uiPriority="99" w:unhideWhenUsed="1"/>
    <w:lsdException w:name="List Continue" w:uiPriority="99" w:unhideWhenUsed="1" w:qFormat="1"/>
    <w:lsdException w:name="List Continue 2" w:uiPriority="99" w:unhideWhenUsed="1" w:qFormat="1"/>
    <w:lsdException w:name="List Continue 3" w:uiPriority="99" w:unhideWhenUsed="1" w:qFormat="1"/>
    <w:lsdException w:name="Body Text 2" w:uiPriority="99" w:unhideWhenUsed="1" w:qFormat="1"/>
    <w:lsdException w:name="Body Text 3" w:uiPriority="99" w:unhideWhenUsed="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60" w:qFormat="1"/>
    <w:lsdException w:name="Light List" w:uiPriority="61" w:qFormat="1"/>
    <w:lsdException w:name="Light Grid" w:uiPriority="62" w:qFormat="1"/>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qFormat="1"/>
    <w:lsdException w:name="Light Grid Accent 1" w:uiPriority="62" w:qFormat="1"/>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qFormat="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qFormat="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after="200" w:line="276" w:lineRule="auto"/>
    </w:pPr>
    <w:rPr>
      <w:rFonts w:ascii="Cambria" w:eastAsia="Cambria" w:hAnsi="Cambria" w:cs="Cambria"/>
      <w:sz w:val="22"/>
      <w:szCs w:val="22"/>
      <w:lang w:val="sr"/>
    </w:rPr>
  </w:style>
  <w:style w:type="paragraph" w:styleId="Heading1">
    <w:name w:val="heading 1"/>
    <w:basedOn w:val="Normal"/>
    <w:next w:val="Normal"/>
    <w:link w:val="Heading1Char"/>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pPr>
      <w:spacing w:after="120"/>
    </w:pPr>
  </w:style>
  <w:style w:type="paragraph" w:styleId="BodyText2">
    <w:name w:val="Body Text 2"/>
    <w:basedOn w:val="Normal"/>
    <w:link w:val="BodyText2Char"/>
    <w:uiPriority w:val="99"/>
    <w:unhideWhenUsed/>
    <w:qFormat/>
    <w:pPr>
      <w:spacing w:after="120" w:line="480" w:lineRule="auto"/>
    </w:pPr>
  </w:style>
  <w:style w:type="paragraph" w:styleId="BodyText3">
    <w:name w:val="Body Text 3"/>
    <w:basedOn w:val="Normal"/>
    <w:link w:val="BodyText3Char"/>
    <w:uiPriority w:val="99"/>
    <w:unhideWhenUsed/>
    <w:qFormat/>
    <w:pPr>
      <w:spacing w:after="120"/>
    </w:pPr>
    <w:rPr>
      <w:sz w:val="16"/>
      <w:szCs w:val="16"/>
    </w:rPr>
  </w:style>
  <w:style w:type="paragraph" w:styleId="Caption">
    <w:name w:val="caption"/>
    <w:basedOn w:val="Normal"/>
    <w:next w:val="Normal"/>
    <w:uiPriority w:val="35"/>
    <w:semiHidden/>
    <w:unhideWhenUsed/>
    <w:qFormat/>
    <w:pPr>
      <w:spacing w:line="240" w:lineRule="auto"/>
    </w:pPr>
    <w:rPr>
      <w:b/>
      <w:bCs/>
      <w:color w:val="4F81BD" w:themeColor="accent1"/>
      <w:sz w:val="18"/>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List">
    <w:name w:val="List"/>
    <w:basedOn w:val="Normal"/>
    <w:uiPriority w:val="99"/>
    <w:unhideWhenUsed/>
    <w:qFormat/>
    <w:pPr>
      <w:ind w:left="360" w:hanging="360"/>
      <w:contextualSpacing/>
    </w:pPr>
  </w:style>
  <w:style w:type="paragraph" w:styleId="List2">
    <w:name w:val="List 2"/>
    <w:basedOn w:val="Normal"/>
    <w:uiPriority w:val="99"/>
    <w:unhideWhenUsed/>
    <w:qFormat/>
    <w:pPr>
      <w:ind w:left="720" w:hanging="360"/>
      <w:contextualSpacing/>
    </w:pPr>
  </w:style>
  <w:style w:type="paragraph" w:styleId="List3">
    <w:name w:val="List 3"/>
    <w:basedOn w:val="Normal"/>
    <w:uiPriority w:val="99"/>
    <w:unhideWhenUsed/>
    <w:qFormat/>
    <w:pPr>
      <w:ind w:left="1080" w:hanging="360"/>
      <w:contextualSpacing/>
    </w:pPr>
  </w:style>
  <w:style w:type="paragraph" w:styleId="ListBullet">
    <w:name w:val="List Bullet"/>
    <w:basedOn w:val="Normal"/>
    <w:uiPriority w:val="99"/>
    <w:unhideWhenUsed/>
    <w:qFormat/>
    <w:pPr>
      <w:numPr>
        <w:numId w:val="1"/>
      </w:numPr>
      <w:contextualSpacing/>
    </w:pPr>
  </w:style>
  <w:style w:type="paragraph" w:styleId="ListBullet2">
    <w:name w:val="List Bullet 2"/>
    <w:basedOn w:val="Normal"/>
    <w:uiPriority w:val="99"/>
    <w:unhideWhenUsed/>
    <w:pPr>
      <w:numPr>
        <w:numId w:val="2"/>
      </w:numPr>
      <w:contextualSpacing/>
    </w:pPr>
  </w:style>
  <w:style w:type="paragraph" w:styleId="ListBullet3">
    <w:name w:val="List Bullet 3"/>
    <w:basedOn w:val="Normal"/>
    <w:uiPriority w:val="99"/>
    <w:unhideWhenUsed/>
    <w:qFormat/>
    <w:pPr>
      <w:numPr>
        <w:numId w:val="3"/>
      </w:numPr>
      <w:contextualSpacing/>
    </w:pPr>
  </w:style>
  <w:style w:type="paragraph" w:styleId="ListContinue">
    <w:name w:val="List Continue"/>
    <w:basedOn w:val="Normal"/>
    <w:uiPriority w:val="99"/>
    <w:unhideWhenUsed/>
    <w:qFormat/>
    <w:pPr>
      <w:spacing w:after="120"/>
      <w:ind w:left="360"/>
      <w:contextualSpacing/>
    </w:pPr>
  </w:style>
  <w:style w:type="paragraph" w:styleId="ListContinue2">
    <w:name w:val="List Continue 2"/>
    <w:basedOn w:val="Normal"/>
    <w:uiPriority w:val="99"/>
    <w:unhideWhenUsed/>
    <w:qFormat/>
    <w:pPr>
      <w:spacing w:after="120"/>
      <w:ind w:left="720"/>
      <w:contextualSpacing/>
    </w:pPr>
  </w:style>
  <w:style w:type="paragraph" w:styleId="ListContinue3">
    <w:name w:val="List Continue 3"/>
    <w:basedOn w:val="Normal"/>
    <w:uiPriority w:val="99"/>
    <w:unhideWhenUsed/>
    <w:qFormat/>
    <w:pPr>
      <w:spacing w:after="120"/>
      <w:ind w:left="1080"/>
      <w:contextualSpacing/>
    </w:pPr>
  </w:style>
  <w:style w:type="paragraph" w:styleId="ListNumber">
    <w:name w:val="List Number"/>
    <w:basedOn w:val="Normal"/>
    <w:uiPriority w:val="99"/>
    <w:unhideWhenUsed/>
    <w:qFormat/>
    <w:pPr>
      <w:contextualSpacing/>
    </w:pPr>
  </w:style>
  <w:style w:type="paragraph" w:styleId="ListNumber2">
    <w:name w:val="List Number 2"/>
    <w:basedOn w:val="Normal"/>
    <w:uiPriority w:val="99"/>
    <w:unhideWhenUsed/>
    <w:qFormat/>
    <w:pPr>
      <w:contextualSpacing/>
    </w:pPr>
  </w:style>
  <w:style w:type="paragraph" w:styleId="ListNumber3">
    <w:name w:val="List Number 3"/>
    <w:basedOn w:val="Normal"/>
    <w:uiPriority w:val="99"/>
    <w:unhideWhenUsed/>
    <w:qFormat/>
    <w:pPr>
      <w:contextualSpacing/>
    </w:pPr>
  </w:style>
  <w:style w:type="paragraph" w:styleId="MacroText">
    <w:name w:val="macro"/>
    <w:link w:val="MacroTextChar"/>
    <w:uiPriority w:val="99"/>
    <w:unhideWhenUsed/>
    <w:qFormat/>
    <w:pPr>
      <w:tabs>
        <w:tab w:val="left" w:pos="576"/>
        <w:tab w:val="left" w:pos="1152"/>
        <w:tab w:val="left" w:pos="1728"/>
        <w:tab w:val="left" w:pos="2304"/>
        <w:tab w:val="left" w:pos="2880"/>
        <w:tab w:val="left" w:pos="3456"/>
        <w:tab w:val="left" w:pos="4032"/>
      </w:tabs>
      <w:spacing w:after="200" w:line="276" w:lineRule="auto"/>
    </w:pPr>
    <w:rPr>
      <w:rFonts w:ascii="Courier" w:eastAsia="Cambria" w:hAnsi="Courier" w:cs="Cambria"/>
      <w:lang w:val="sr"/>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Subtitle">
    <w:name w:val="Subtitle"/>
    <w:basedOn w:val="Normal"/>
    <w:next w:val="Normal"/>
    <w:rPr>
      <w:rFonts w:ascii="Calibri" w:eastAsia="Calibri" w:hAnsi="Calibri" w:cs="Calibri"/>
      <w:i/>
      <w:iCs/>
      <w:color w:val="4F81BD"/>
      <w:sz w:val="24"/>
      <w:szCs w:val="24"/>
    </w:rPr>
  </w:style>
  <w:style w:type="table" w:styleId="TableGrid">
    <w:name w:val="Table Grid"/>
    <w:basedOn w:val="TableNormal0"/>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pBdr>
        <w:bottom w:val="single" w:sz="8" w:space="4" w:color="4F81BD"/>
      </w:pBdr>
      <w:spacing w:after="300" w:line="240" w:lineRule="auto"/>
    </w:pPr>
    <w:rPr>
      <w:rFonts w:ascii="Calibri" w:eastAsia="Calibri" w:hAnsi="Calibri" w:cs="Calibri"/>
      <w:color w:val="17365D"/>
      <w:sz w:val="52"/>
      <w:szCs w:val="52"/>
    </w:rPr>
  </w:style>
  <w:style w:type="table" w:styleId="LightShading">
    <w:name w:val="Light Shading"/>
    <w:basedOn w:val="TableNormal0"/>
    <w:uiPriority w:val="60"/>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0"/>
    <w:uiPriority w:val="60"/>
    <w:qFormat/>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0"/>
    <w:uiPriority w:val="60"/>
    <w:qFormat/>
    <w:rPr>
      <w:color w:val="943634" w:themeColor="accent2" w:themeShade="BF"/>
    </w:rPr>
    <w:tblPr>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0"/>
    <w:uiPriority w:val="60"/>
    <w:qFormat/>
    <w:rPr>
      <w:color w:val="76923C" w:themeColor="accent3" w:themeShade="BF"/>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0"/>
    <w:uiPriority w:val="60"/>
    <w:qFormat/>
    <w:rPr>
      <w:color w:val="5F497A" w:themeColor="accent4" w:themeShade="BF"/>
    </w:rPr>
    <w:tblPr>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0"/>
    <w:uiPriority w:val="60"/>
    <w:qFormat/>
    <w:rPr>
      <w:color w:val="31849B" w:themeColor="accent5" w:themeShade="BF"/>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0"/>
    <w:uiPriority w:val="60"/>
    <w:qFormat/>
    <w:rPr>
      <w:color w:val="E36C0A" w:themeColor="accent6" w:themeShade="BF"/>
    </w:rPr>
    <w:tblPr>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0"/>
    <w:uiPriority w:val="61"/>
    <w:qFormat/>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0"/>
    <w:uiPriority w:val="61"/>
    <w:qFormat/>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0"/>
    <w:uiPriority w:val="61"/>
    <w:qFormat/>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0"/>
    <w:uiPriority w:val="61"/>
    <w:qFormat/>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0"/>
    <w:uiPriority w:val="61"/>
    <w:qFormat/>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0"/>
    <w:uiPriority w:val="61"/>
    <w:qFormat/>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0"/>
    <w:uiPriority w:val="61"/>
    <w:qFormat/>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0"/>
    <w:uiPriority w:val="62"/>
    <w:qFormat/>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LightGrid-Accent1">
    <w:name w:val="Light Grid Accent 1"/>
    <w:basedOn w:val="TableNormal0"/>
    <w:uiPriority w:val="62"/>
    <w:qFormat/>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LightGrid-Accent2">
    <w:name w:val="Light Grid Accent 2"/>
    <w:basedOn w:val="TableNormal0"/>
    <w:uiPriority w:val="62"/>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LightGrid-Accent3">
    <w:name w:val="Light Grid Accent 3"/>
    <w:basedOn w:val="TableNormal0"/>
    <w:uiPriority w:val="62"/>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LightGrid-Accent4">
    <w:name w:val="Light Grid Accent 4"/>
    <w:basedOn w:val="TableNormal0"/>
    <w:uiPriority w:val="62"/>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tcPr>
    </w:tblStylePr>
  </w:style>
  <w:style w:type="table" w:styleId="LightGrid-Accent5">
    <w:name w:val="Light Grid Accent 5"/>
    <w:basedOn w:val="TableNormal0"/>
    <w:uiPriority w:val="62"/>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styleId="LightGrid-Accent6">
    <w:name w:val="Light Grid Accent 6"/>
    <w:basedOn w:val="TableNormal0"/>
    <w:uiPriority w:val="62"/>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styleId="MediumShading1">
    <w:name w:val="Medium Shading 1"/>
    <w:basedOn w:val="TableNormal0"/>
    <w:uiPriority w:val="63"/>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0"/>
    <w:uiPriority w:val="63"/>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0"/>
    <w:uiPriority w:val="63"/>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0"/>
    <w:uiPriority w:val="63"/>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0"/>
    <w:uiPriority w:val="63"/>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0"/>
    <w:uiPriority w:val="63"/>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0"/>
    <w:uiPriority w:val="63"/>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0"/>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0"/>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0"/>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0"/>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0"/>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0"/>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0"/>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0"/>
    <w:uiPriority w:val="65"/>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0"/>
    <w:uiPriority w:val="65"/>
    <w:rPr>
      <w:color w:val="000000" w:themeColor="text1"/>
    </w:rPr>
    <w:tblPr>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0"/>
    <w:uiPriority w:val="65"/>
    <w:rPr>
      <w:color w:val="000000" w:themeColor="text1"/>
    </w:rPr>
    <w:tblPr>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0"/>
    <w:uiPriority w:val="65"/>
    <w:rPr>
      <w:color w:val="000000" w:themeColor="text1"/>
    </w:rPr>
    <w:tblPr>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0"/>
    <w:uiPriority w:val="65"/>
    <w:rPr>
      <w:color w:val="000000" w:themeColor="text1"/>
    </w:rPr>
    <w:tblPr>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0"/>
    <w:uiPriority w:val="65"/>
    <w:rPr>
      <w:color w:val="000000" w:themeColor="text1"/>
    </w:rPr>
    <w:tblPr>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0"/>
    <w:uiPriority w:val="65"/>
    <w:rPr>
      <w:color w:val="000000" w:themeColor="text1"/>
    </w:rPr>
    <w:tblPr>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0"/>
    <w:uiPriority w:val="66"/>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0"/>
    <w:uiPriority w:val="66"/>
    <w:rPr>
      <w:rFonts w:asciiTheme="majorHAnsi" w:eastAsiaTheme="majorEastAsia" w:hAnsiTheme="majorHAnsi" w:cstheme="majorBidi"/>
      <w:color w:val="000000" w:themeColor="text1"/>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0"/>
    <w:uiPriority w:val="66"/>
    <w:rPr>
      <w:rFonts w:asciiTheme="majorHAnsi" w:eastAsiaTheme="majorEastAsia" w:hAnsiTheme="majorHAnsi" w:cstheme="majorBidi"/>
      <w:color w:val="000000" w:themeColor="text1"/>
    </w:rPr>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0"/>
    <w:uiPriority w:val="66"/>
    <w:rPr>
      <w:rFonts w:asciiTheme="majorHAnsi" w:eastAsiaTheme="majorEastAsia" w:hAnsiTheme="majorHAnsi" w:cstheme="majorBidi"/>
      <w:color w:val="000000" w:themeColor="text1"/>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0"/>
    <w:uiPriority w:val="66"/>
    <w:rPr>
      <w:rFonts w:asciiTheme="majorHAnsi" w:eastAsiaTheme="majorEastAsia" w:hAnsiTheme="majorHAnsi" w:cstheme="majorBidi"/>
      <w:color w:val="000000" w:themeColor="text1"/>
    </w:rPr>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0"/>
    <w:uiPriority w:val="66"/>
    <w:rPr>
      <w:rFonts w:asciiTheme="majorHAnsi" w:eastAsiaTheme="majorEastAsia" w:hAnsiTheme="majorHAnsi" w:cstheme="majorBidi"/>
      <w:color w:val="000000" w:themeColor="text1"/>
    </w:r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0"/>
    <w:uiPriority w:val="66"/>
    <w:rPr>
      <w:rFonts w:asciiTheme="majorHAnsi" w:eastAsiaTheme="majorEastAsia" w:hAnsiTheme="majorHAnsi" w:cstheme="majorBidi"/>
      <w:color w:val="000000" w:themeColor="text1"/>
    </w:rPr>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0"/>
    <w:uiPriority w:val="67"/>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0"/>
    <w:uiPriority w:val="67"/>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0"/>
    <w:uiPriority w:val="67"/>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0"/>
    <w:uiPriority w:val="67"/>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0"/>
    <w:uiPriority w:val="67"/>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0"/>
    <w:uiPriority w:val="67"/>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0"/>
    <w:uiPriority w:val="67"/>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0"/>
    <w:uiPriority w:val="68"/>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0"/>
    <w:uiPriority w:val="68"/>
    <w:rPr>
      <w:rFonts w:asciiTheme="majorHAnsi" w:eastAsiaTheme="majorEastAsia" w:hAnsiTheme="majorHAnsi" w:cstheme="majorBidi"/>
      <w:color w:val="000000" w:themeColor="text1"/>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auto"/>
          <w:insideV w:val="single" w:sz="6" w:space="0" w:color="auto"/>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0"/>
    <w:uiPriority w:val="68"/>
    <w:rPr>
      <w:rFonts w:asciiTheme="majorHAnsi" w:eastAsiaTheme="majorEastAsia" w:hAnsiTheme="majorHAnsi" w:cstheme="majorBidi"/>
      <w:color w:val="000000" w:themeColor="text1"/>
    </w:rPr>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auto"/>
          <w:insideV w:val="single" w:sz="6" w:space="0" w:color="auto"/>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0"/>
    <w:uiPriority w:val="68"/>
    <w:rPr>
      <w:rFonts w:asciiTheme="majorHAnsi" w:eastAsiaTheme="majorEastAsia" w:hAnsiTheme="majorHAnsi" w:cstheme="majorBidi"/>
      <w:color w:val="000000" w:themeColor="text1"/>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auto"/>
          <w:insideV w:val="single" w:sz="6" w:space="0" w:color="auto"/>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0"/>
    <w:uiPriority w:val="68"/>
    <w:rPr>
      <w:rFonts w:asciiTheme="majorHAnsi" w:eastAsiaTheme="majorEastAsia" w:hAnsiTheme="majorHAnsi" w:cstheme="majorBidi"/>
      <w:color w:val="000000" w:themeColor="text1"/>
    </w:rPr>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auto"/>
          <w:insideV w:val="single" w:sz="6" w:space="0" w:color="auto"/>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0"/>
    <w:uiPriority w:val="68"/>
    <w:rPr>
      <w:rFonts w:asciiTheme="majorHAnsi" w:eastAsiaTheme="majorEastAsia" w:hAnsiTheme="majorHAnsi" w:cstheme="majorBidi"/>
      <w:color w:val="000000" w:themeColor="text1"/>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auto"/>
          <w:insideV w:val="single" w:sz="6" w:space="0" w:color="auto"/>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0"/>
    <w:uiPriority w:val="68"/>
    <w:rPr>
      <w:rFonts w:asciiTheme="majorHAnsi" w:eastAsiaTheme="majorEastAsia" w:hAnsiTheme="majorHAnsi" w:cstheme="majorBidi"/>
      <w:color w:val="000000" w:themeColor="text1"/>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auto"/>
          <w:insideV w:val="single" w:sz="6" w:space="0" w:color="auto"/>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0"/>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MediumGrid3-Accent1">
    <w:name w:val="Medium Grid 3 Accent 1"/>
    <w:basedOn w:val="TableNormal0"/>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MediumGrid3-Accent2">
    <w:name w:val="Medium Grid 3 Accent 2"/>
    <w:basedOn w:val="TableNormal0"/>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FA7A6" w:themeFill="accent2" w:themeFillTint="7F"/>
      </w:tcPr>
    </w:tblStylePr>
  </w:style>
  <w:style w:type="table" w:styleId="MediumGrid3-Accent3">
    <w:name w:val="Medium Grid 3 Accent 3"/>
    <w:basedOn w:val="TableNormal0"/>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styleId="MediumGrid3-Accent4">
    <w:name w:val="Medium Grid 3 Accent 4"/>
    <w:basedOn w:val="TableNormal0"/>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FB1D0" w:themeFill="accent4" w:themeFillTint="7F"/>
      </w:tcPr>
    </w:tblStylePr>
  </w:style>
  <w:style w:type="table" w:styleId="MediumGrid3-Accent5">
    <w:name w:val="Medium Grid 3 Accent 5"/>
    <w:basedOn w:val="TableNormal0"/>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5D5E2" w:themeFill="accent5" w:themeFillTint="7F"/>
      </w:tcPr>
    </w:tblStylePr>
  </w:style>
  <w:style w:type="table" w:styleId="MediumGrid3-Accent6">
    <w:name w:val="Medium Grid 3 Accent 6"/>
    <w:basedOn w:val="TableNormal0"/>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BCAA2" w:themeFill="accent6" w:themeFillTint="7F"/>
      </w:tcPr>
    </w:tblStylePr>
  </w:style>
  <w:style w:type="table" w:styleId="DarkList">
    <w:name w:val="Dark List"/>
    <w:basedOn w:val="TableNormal0"/>
    <w:uiPriority w:val="70"/>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0"/>
    <w:uiPriority w:val="70"/>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0"/>
    <w:uiPriority w:val="70"/>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0"/>
    <w:uiPriority w:val="70"/>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0"/>
    <w:uiPriority w:val="70"/>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0"/>
    <w:uiPriority w:val="70"/>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0"/>
    <w:uiPriority w:val="70"/>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0"/>
    <w:uiPriority w:val="71"/>
    <w:rPr>
      <w:color w:val="000000" w:themeColor="text1"/>
    </w:rPr>
    <w:tblPr>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0"/>
    <w:uiPriority w:val="71"/>
    <w:rPr>
      <w:color w:val="000000" w:themeColor="text1"/>
    </w:rPr>
    <w:tblPr>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0"/>
    <w:uiPriority w:val="71"/>
    <w:rPr>
      <w:color w:val="000000" w:themeColor="text1"/>
    </w:rPr>
    <w:tblPr>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0"/>
    <w:uiPriority w:val="71"/>
    <w:rPr>
      <w:color w:val="000000" w:themeColor="text1"/>
    </w:rPr>
    <w:tblPr>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0"/>
    <w:uiPriority w:val="71"/>
    <w:rPr>
      <w:color w:val="000000" w:themeColor="text1"/>
    </w:rPr>
    <w:tblPr>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0"/>
    <w:uiPriority w:val="71"/>
    <w:rPr>
      <w:color w:val="000000" w:themeColor="text1"/>
    </w:rPr>
    <w:tblPr>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0"/>
    <w:uiPriority w:val="71"/>
    <w:rPr>
      <w:color w:val="000000" w:themeColor="text1"/>
    </w:rPr>
    <w:tblPr>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0"/>
    <w:uiPriority w:val="7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0"/>
    <w:uiPriority w:val="72"/>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0"/>
    <w:uiPriority w:val="72"/>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0"/>
    <w:uiPriority w:val="72"/>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0"/>
    <w:uiPriority w:val="72"/>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0"/>
    <w:uiPriority w:val="72"/>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0"/>
    <w:uiPriority w:val="72"/>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0"/>
    <w:uiPriority w:val="73"/>
    <w:rPr>
      <w:color w:val="000000" w:themeColor="text1"/>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0"/>
    <w:uiPriority w:val="73"/>
    <w:rPr>
      <w:color w:val="000000" w:themeColor="text1"/>
    </w:rPr>
    <w:tblPr>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0"/>
    <w:uiPriority w:val="73"/>
    <w:rPr>
      <w:color w:val="000000" w:themeColor="text1"/>
    </w:rPr>
    <w:tblPr>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0"/>
    <w:uiPriority w:val="73"/>
    <w:rPr>
      <w:color w:val="000000" w:themeColor="text1"/>
    </w:rPr>
    <w:tblPr>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0"/>
    <w:uiPriority w:val="73"/>
    <w:rPr>
      <w:color w:val="000000" w:themeColor="text1"/>
    </w:rPr>
    <w:tblPr>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0"/>
    <w:uiPriority w:val="73"/>
    <w:rPr>
      <w:color w:val="000000" w:themeColor="text1"/>
    </w:rPr>
    <w:tblPr>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0"/>
    <w:uiPriority w:val="73"/>
    <w:rPr>
      <w:color w:val="000000" w:themeColor="text1"/>
    </w:rPr>
    <w:tblPr>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NoSpacing">
    <w:name w:val="No Spacing"/>
    <w:uiPriority w:val="1"/>
    <w:qFormat/>
    <w:rPr>
      <w:rFonts w:ascii="Cambria" w:eastAsia="Cambria" w:hAnsi="Cambria" w:cs="Cambria"/>
      <w:sz w:val="22"/>
      <w:szCs w:val="22"/>
      <w:lang w:val="sr"/>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uiPriority w:val="11"/>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pPr>
      <w:ind w:left="720"/>
      <w:contextualSpacing/>
    </w:pPr>
  </w:style>
  <w:style w:type="character" w:customStyle="1" w:styleId="BodyTextChar">
    <w:name w:val="Body Text Char"/>
    <w:basedOn w:val="DefaultParagraphFont"/>
    <w:link w:val="BodyText"/>
    <w:uiPriority w:val="99"/>
    <w:qFormat/>
  </w:style>
  <w:style w:type="character" w:customStyle="1" w:styleId="BodyText2Char">
    <w:name w:val="Body Text 2 Char"/>
    <w:basedOn w:val="DefaultParagraphFont"/>
    <w:link w:val="BodyText2"/>
    <w:uiPriority w:val="99"/>
    <w:qFormat/>
  </w:style>
  <w:style w:type="character" w:customStyle="1" w:styleId="BodyText3Char">
    <w:name w:val="Body Text 3 Char"/>
    <w:basedOn w:val="DefaultParagraphFont"/>
    <w:link w:val="BodyText3"/>
    <w:uiPriority w:val="99"/>
    <w:qFormat/>
    <w:rPr>
      <w:sz w:val="16"/>
      <w:szCs w:val="16"/>
    </w:rPr>
  </w:style>
  <w:style w:type="character" w:customStyle="1" w:styleId="MacroTextChar">
    <w:name w:val="Macro Text Char"/>
    <w:basedOn w:val="DefaultParagraphFont"/>
    <w:link w:val="MacroText"/>
    <w:uiPriority w:val="99"/>
    <w:qFormat/>
    <w:rPr>
      <w:rFonts w:ascii="Courier" w:hAnsi="Courier"/>
      <w:sz w:val="20"/>
      <w:szCs w:val="20"/>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qFormat/>
    <w:rPr>
      <w:i/>
      <w:iCs/>
      <w:color w:val="000000" w:themeColor="text1"/>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244061" w:themeColor="accent1" w:themeShade="80"/>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404040" w:themeColor="text1" w:themeTint="BF"/>
      <w:sz w:val="20"/>
      <w:szCs w:val="20"/>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qFormat/>
    <w:rPr>
      <w:b/>
      <w:bCs/>
      <w:i/>
      <w:iCs/>
      <w:color w:val="4F81BD" w:themeColor="accent1"/>
    </w:rPr>
  </w:style>
  <w:style w:type="character" w:customStyle="1" w:styleId="SubtleEmphasis1">
    <w:name w:val="Subtle Emphasis1"/>
    <w:basedOn w:val="DefaultParagraphFont"/>
    <w:uiPriority w:val="19"/>
    <w:qFormat/>
    <w:rPr>
      <w:i/>
      <w:iCs/>
      <w:color w:val="7F7F7F" w:themeColor="text1" w:themeTint="80"/>
    </w:rPr>
  </w:style>
  <w:style w:type="character" w:customStyle="1" w:styleId="IntenseEmphasis1">
    <w:name w:val="Intense Emphasis1"/>
    <w:basedOn w:val="DefaultParagraphFont"/>
    <w:uiPriority w:val="21"/>
    <w:qFormat/>
    <w:rPr>
      <w:b/>
      <w:bCs/>
      <w:i/>
      <w:iCs/>
      <w:color w:val="4F81BD" w:themeColor="accent1"/>
    </w:rPr>
  </w:style>
  <w:style w:type="character" w:customStyle="1" w:styleId="SubtleReference1">
    <w:name w:val="Subtle Reference1"/>
    <w:basedOn w:val="DefaultParagraphFont"/>
    <w:uiPriority w:val="31"/>
    <w:qFormat/>
    <w:rPr>
      <w:smallCaps/>
      <w:color w:val="C0504D" w:themeColor="accent2"/>
      <w:u w:val="single"/>
    </w:rPr>
  </w:style>
  <w:style w:type="character" w:customStyle="1" w:styleId="IntenseReference1">
    <w:name w:val="Intense Reference1"/>
    <w:basedOn w:val="DefaultParagraphFont"/>
    <w:uiPriority w:val="32"/>
    <w:qFormat/>
    <w:rPr>
      <w:b/>
      <w:bCs/>
      <w:smallCaps/>
      <w:color w:val="C0504D" w:themeColor="accent2"/>
      <w:spacing w:val="5"/>
      <w:u w:val="single"/>
    </w:rPr>
  </w:style>
  <w:style w:type="character" w:customStyle="1" w:styleId="BookTitle1">
    <w:name w:val="Book Title1"/>
    <w:basedOn w:val="DefaultParagraphFont"/>
    <w:uiPriority w:val="33"/>
    <w:qFormat/>
    <w:rPr>
      <w:b/>
      <w:bCs/>
      <w:smallCaps/>
      <w:spacing w:val="5"/>
    </w:rPr>
  </w:style>
  <w:style w:type="paragraph" w:customStyle="1" w:styleId="TOCHeading1">
    <w:name w:val="TOC Heading1"/>
    <w:basedOn w:val="Heading1"/>
    <w:next w:val="Normal"/>
    <w:uiPriority w:val="39"/>
    <w:semiHidden/>
    <w:unhideWhenUsed/>
    <w:qFormat/>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a7dbQrrly+c4mGyg9GBwlLNyGQ==">CgMxLjA4AHIhMVJ0aVg2VWJPeDB5QWl3UXNuZlFnNkxoQ3VuV2JHbHVD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2136</Words>
  <Characters>12176</Characters>
  <Application>Microsoft Office Word</Application>
  <DocSecurity>0</DocSecurity>
  <Lines>101</Lines>
  <Paragraphs>28</Paragraphs>
  <ScaleCrop>false</ScaleCrop>
  <Company/>
  <LinksUpToDate>false</LinksUpToDate>
  <CharactersWithSpaces>14284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Violeta Rastovic</cp:lastModifiedBy>
  <cp:revision>2</cp:revision>
  <dcterms:created xsi:type="dcterms:W3CDTF">2025-11-25T08:45:00Z</dcterms:created>
  <dcterms:modified xsi:type="dcterms:W3CDTF">2025-11-25T08:45:00Z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53F318EE51324BD2ADE18169170914F9_12</vt:lpwstr>
  </property>
  <property fmtid="{D5CDD505-2E9C-101B-9397-08002B2CF9AE}" pid="4" name="GrammarlyDocumentId">
    <vt:lpwstr>0ac8d1c9-e305-4767-84fa-9921fbfe995e</vt:lpwstr>
  </property>
</Properties>
</file>